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51" w:rsidRPr="00C165B5" w:rsidRDefault="00B71881" w:rsidP="00B71881">
      <w:pPr>
        <w:spacing w:after="0"/>
        <w:jc w:val="center"/>
      </w:pPr>
      <w:r w:rsidRPr="00C165B5">
        <w:t>INFORMATION REGARDING STAFF COMPENSATION</w:t>
      </w:r>
    </w:p>
    <w:p w:rsidR="00B71881" w:rsidRPr="00C165B5" w:rsidRDefault="00B71881" w:rsidP="00B71881">
      <w:pPr>
        <w:spacing w:after="0"/>
        <w:jc w:val="both"/>
      </w:pPr>
      <w:r w:rsidRPr="00C165B5">
        <w:t>Texas Woman’s University provides the following information in accordance with Texas Government Code 659.026:</w:t>
      </w:r>
    </w:p>
    <w:p w:rsidR="00B71881" w:rsidRPr="00CA10E7" w:rsidRDefault="00B71881" w:rsidP="00CA10E7">
      <w:pPr>
        <w:spacing w:after="0"/>
        <w:jc w:val="both"/>
        <w:rPr>
          <w:b/>
        </w:rPr>
      </w:pPr>
      <w:r w:rsidRPr="00CA10E7">
        <w:rPr>
          <w:b/>
        </w:rPr>
        <w:t>Full-time Equivalent Employees</w:t>
      </w:r>
    </w:p>
    <w:tbl>
      <w:tblPr>
        <w:tblStyle w:val="TableGrid"/>
        <w:tblW w:w="0" w:type="auto"/>
        <w:tblInd w:w="108" w:type="dxa"/>
        <w:tblLook w:val="04A0" w:firstRow="1" w:lastRow="0" w:firstColumn="1" w:lastColumn="0" w:noHBand="0" w:noVBand="1"/>
      </w:tblPr>
      <w:tblGrid>
        <w:gridCol w:w="1188"/>
        <w:gridCol w:w="1170"/>
      </w:tblGrid>
      <w:tr w:rsidR="00BE2113" w:rsidRPr="00C165B5" w:rsidTr="00CA10E7">
        <w:tc>
          <w:tcPr>
            <w:tcW w:w="1188" w:type="dxa"/>
          </w:tcPr>
          <w:p w:rsidR="00BE2113" w:rsidRDefault="00BE2113" w:rsidP="00B71881">
            <w:pPr>
              <w:pStyle w:val="ListParagraph"/>
              <w:ind w:left="0"/>
              <w:jc w:val="both"/>
            </w:pPr>
            <w:r>
              <w:t>FY 2019</w:t>
            </w:r>
          </w:p>
        </w:tc>
        <w:tc>
          <w:tcPr>
            <w:tcW w:w="1170" w:type="dxa"/>
          </w:tcPr>
          <w:p w:rsidR="00BE2113" w:rsidRPr="004F7F6E" w:rsidRDefault="004F7F6E" w:rsidP="004F7F6E">
            <w:pPr>
              <w:jc w:val="both"/>
              <w:rPr>
                <w:rFonts w:ascii="Calibri" w:hAnsi="Calibri" w:cs="Calibri"/>
                <w:bCs/>
                <w:color w:val="000000"/>
              </w:rPr>
            </w:pPr>
            <w:r w:rsidRPr="004F7F6E">
              <w:rPr>
                <w:rFonts w:ascii="Calibri" w:hAnsi="Calibri" w:cs="Calibri"/>
                <w:bCs/>
                <w:color w:val="000000"/>
              </w:rPr>
              <w:t>1</w:t>
            </w:r>
            <w:r>
              <w:rPr>
                <w:rFonts w:ascii="Calibri" w:hAnsi="Calibri" w:cs="Calibri"/>
                <w:bCs/>
                <w:color w:val="000000"/>
              </w:rPr>
              <w:t>,</w:t>
            </w:r>
            <w:r w:rsidRPr="004F7F6E">
              <w:rPr>
                <w:rFonts w:ascii="Calibri" w:hAnsi="Calibri" w:cs="Calibri"/>
                <w:bCs/>
                <w:color w:val="000000"/>
              </w:rPr>
              <w:t>848.88</w:t>
            </w:r>
          </w:p>
        </w:tc>
      </w:tr>
    </w:tbl>
    <w:p w:rsidR="00B71881" w:rsidRPr="00CA10E7" w:rsidRDefault="00B71881" w:rsidP="00CA10E7">
      <w:pPr>
        <w:spacing w:after="0"/>
        <w:jc w:val="both"/>
        <w:rPr>
          <w:b/>
        </w:rPr>
      </w:pPr>
    </w:p>
    <w:p w:rsidR="00FC2B1D" w:rsidRPr="00C165B5" w:rsidRDefault="00FC2B1D" w:rsidP="00CA10E7">
      <w:pPr>
        <w:spacing w:after="0"/>
        <w:jc w:val="both"/>
        <w:rPr>
          <w:b/>
        </w:rPr>
      </w:pPr>
      <w:r w:rsidRPr="00C165B5">
        <w:rPr>
          <w:b/>
        </w:rPr>
        <w:t>Legislative Appropriations for Current Biennium</w:t>
      </w:r>
    </w:p>
    <w:tbl>
      <w:tblPr>
        <w:tblStyle w:val="TableGrid"/>
        <w:tblW w:w="0" w:type="auto"/>
        <w:tblInd w:w="108" w:type="dxa"/>
        <w:tblLook w:val="04A0" w:firstRow="1" w:lastRow="0" w:firstColumn="1" w:lastColumn="0" w:noHBand="0" w:noVBand="1"/>
      </w:tblPr>
      <w:tblGrid>
        <w:gridCol w:w="1188"/>
        <w:gridCol w:w="1330"/>
      </w:tblGrid>
      <w:tr w:rsidR="00BE2113" w:rsidRPr="00C165B5" w:rsidTr="00D83BF1">
        <w:tc>
          <w:tcPr>
            <w:tcW w:w="1188" w:type="dxa"/>
          </w:tcPr>
          <w:p w:rsidR="00BE2113" w:rsidRDefault="00BE2113" w:rsidP="00697BE6">
            <w:pPr>
              <w:pStyle w:val="ListParagraph"/>
              <w:ind w:left="0"/>
              <w:jc w:val="both"/>
            </w:pPr>
            <w:r>
              <w:t>FY 2019</w:t>
            </w:r>
          </w:p>
        </w:tc>
        <w:tc>
          <w:tcPr>
            <w:tcW w:w="1330" w:type="dxa"/>
          </w:tcPr>
          <w:p w:rsidR="00BE2113" w:rsidRDefault="007F1D3B" w:rsidP="00006AC2">
            <w:pPr>
              <w:pStyle w:val="ListParagraph"/>
              <w:ind w:left="0"/>
              <w:jc w:val="both"/>
            </w:pPr>
            <w:r>
              <w:t>$77,261,548</w:t>
            </w:r>
          </w:p>
        </w:tc>
      </w:tr>
      <w:tr w:rsidR="007F1D3B" w:rsidRPr="00C165B5" w:rsidTr="00D83BF1">
        <w:tc>
          <w:tcPr>
            <w:tcW w:w="1188" w:type="dxa"/>
          </w:tcPr>
          <w:p w:rsidR="007F1D3B" w:rsidRDefault="007F1D3B" w:rsidP="00697BE6">
            <w:pPr>
              <w:pStyle w:val="ListParagraph"/>
              <w:ind w:left="0"/>
              <w:jc w:val="both"/>
            </w:pPr>
            <w:r>
              <w:t>FY 2020</w:t>
            </w:r>
          </w:p>
        </w:tc>
        <w:tc>
          <w:tcPr>
            <w:tcW w:w="1330" w:type="dxa"/>
          </w:tcPr>
          <w:p w:rsidR="007F1D3B" w:rsidRDefault="007F1D3B" w:rsidP="00006AC2">
            <w:pPr>
              <w:pStyle w:val="ListParagraph"/>
              <w:ind w:left="0"/>
              <w:jc w:val="both"/>
            </w:pPr>
            <w:r>
              <w:t>$81,849,901</w:t>
            </w:r>
          </w:p>
        </w:tc>
      </w:tr>
    </w:tbl>
    <w:p w:rsidR="00D83BF1" w:rsidRPr="00D83BF1" w:rsidRDefault="00006AC2" w:rsidP="00D83BF1">
      <w:pPr>
        <w:spacing w:after="0"/>
        <w:rPr>
          <w:sz w:val="18"/>
          <w:szCs w:val="18"/>
        </w:rPr>
      </w:pPr>
      <w:r w:rsidRPr="00D83BF1">
        <w:rPr>
          <w:sz w:val="18"/>
          <w:szCs w:val="18"/>
        </w:rPr>
        <w:t>(Source:  Texas Legislature General Appropriations Act, Article III</w:t>
      </w:r>
      <w:r w:rsidR="00087055" w:rsidRPr="00D83BF1">
        <w:rPr>
          <w:sz w:val="18"/>
          <w:szCs w:val="18"/>
        </w:rPr>
        <w:t>, includes GR and GR-Dedicated.</w:t>
      </w:r>
      <w:r w:rsidRPr="00D83BF1">
        <w:rPr>
          <w:sz w:val="18"/>
          <w:szCs w:val="18"/>
        </w:rPr>
        <w:t>)</w:t>
      </w:r>
    </w:p>
    <w:p w:rsidR="00FC2B1D" w:rsidRPr="00D83BF1" w:rsidRDefault="00006AC2" w:rsidP="00D83BF1">
      <w:pPr>
        <w:spacing w:after="0"/>
        <w:rPr>
          <w:b/>
        </w:rPr>
      </w:pPr>
      <w:r w:rsidRPr="00D83BF1">
        <w:rPr>
          <w:i/>
        </w:rPr>
        <w:br/>
      </w:r>
      <w:r w:rsidR="00FC2B1D" w:rsidRPr="00D83BF1">
        <w:rPr>
          <w:b/>
        </w:rPr>
        <w:t>Methodology for Determining the Staff Compensation of Executive Staff</w:t>
      </w:r>
    </w:p>
    <w:p w:rsidR="00880888" w:rsidRPr="00C165B5" w:rsidRDefault="00880888" w:rsidP="00D83BF1">
      <w:pPr>
        <w:spacing w:line="240" w:lineRule="auto"/>
        <w:jc w:val="both"/>
      </w:pPr>
      <w:r w:rsidRPr="00C165B5">
        <w:t xml:space="preserve">The Board of Regents for Texas Woman’s University sets the salary and conditions of employment for the Chancellor and President. </w:t>
      </w:r>
    </w:p>
    <w:p w:rsidR="00FC2B1D" w:rsidRPr="00C165B5" w:rsidRDefault="00880888" w:rsidP="00D83BF1">
      <w:pPr>
        <w:spacing w:line="240" w:lineRule="auto"/>
        <w:jc w:val="both"/>
      </w:pPr>
      <w:r w:rsidRPr="00C165B5">
        <w:t>The Chancellor and President is responsible for the administration and maintenance of the Executive Management Compensation Plan for other executive staff positions. The salaries of the executive staff positions are determined by a job analysis of the duties, level of responsibilities, minimum required qualifications, reporting relationships, compensable work factors, and availability of resources for the position</w:t>
      </w:r>
      <w:r w:rsidR="0061347C">
        <w:t>s</w:t>
      </w:r>
      <w:r w:rsidRPr="00C165B5">
        <w:t xml:space="preserve">. </w:t>
      </w:r>
    </w:p>
    <w:p w:rsidR="00F85345" w:rsidRPr="00200574" w:rsidRDefault="00F85345" w:rsidP="00F85345">
      <w:pPr>
        <w:spacing w:after="0" w:line="240" w:lineRule="auto"/>
        <w:jc w:val="both"/>
        <w:rPr>
          <w:b/>
        </w:rPr>
      </w:pPr>
      <w:r w:rsidRPr="00200574">
        <w:rPr>
          <w:b/>
        </w:rPr>
        <w:t>Salary Supplements</w:t>
      </w:r>
    </w:p>
    <w:p w:rsidR="00FF0172" w:rsidRPr="00200574" w:rsidRDefault="00FF0172" w:rsidP="00FF0172">
      <w:pPr>
        <w:spacing w:line="240" w:lineRule="auto"/>
        <w:jc w:val="both"/>
      </w:pPr>
      <w:r w:rsidRPr="00200574">
        <w:t xml:space="preserve">Executive </w:t>
      </w:r>
      <w:r w:rsidR="00200574">
        <w:t>s</w:t>
      </w:r>
      <w:r w:rsidRPr="00200574">
        <w:t xml:space="preserve">taff members are eligible for supplemental compensation either as </w:t>
      </w:r>
      <w:r w:rsidR="00A737A6" w:rsidRPr="00200574">
        <w:t>specified</w:t>
      </w:r>
      <w:r w:rsidRPr="00200574">
        <w:t xml:space="preserve"> by statutory authority, by contract provision, or for additional or interim </w:t>
      </w:r>
      <w:r w:rsidR="00A737A6" w:rsidRPr="00200574">
        <w:t>duties</w:t>
      </w:r>
      <w:r w:rsidRPr="00200574">
        <w:t xml:space="preserve">, in accordance with </w:t>
      </w:r>
      <w:r w:rsidR="00200574" w:rsidRPr="00200574">
        <w:t xml:space="preserve">the </w:t>
      </w:r>
      <w:r w:rsidR="00A737A6">
        <w:t>policy</w:t>
      </w:r>
      <w:r w:rsidR="00200574" w:rsidRPr="00200574">
        <w:t xml:space="preserve"> </w:t>
      </w:r>
      <w:r w:rsidRPr="00200574">
        <w:t>for supplemental payments</w:t>
      </w:r>
      <w:r w:rsidR="00A737A6">
        <w:t>.</w:t>
      </w:r>
      <w:r w:rsidR="00200574" w:rsidRPr="00200574">
        <w:t xml:space="preserve"> The University </w:t>
      </w:r>
      <w:r w:rsidRPr="00200574">
        <w:t>prohibits the acceptance of gifts, grants, donation, or other consideration designated by a donor for the sole purpose of salary supplementation for a designated employee, person, or position</w:t>
      </w:r>
      <w:r w:rsidR="00A737A6">
        <w:t>.</w:t>
      </w:r>
      <w:bookmarkStart w:id="0" w:name="_GoBack"/>
      <w:bookmarkEnd w:id="0"/>
    </w:p>
    <w:p w:rsidR="00EE020E" w:rsidRPr="00C165B5" w:rsidRDefault="00EE020E" w:rsidP="00D83BF1">
      <w:pPr>
        <w:spacing w:after="0"/>
        <w:rPr>
          <w:b/>
        </w:rPr>
      </w:pPr>
      <w:r w:rsidRPr="00C165B5">
        <w:rPr>
          <w:b/>
        </w:rPr>
        <w:t>Market Average Comparison of Executive Staff</w:t>
      </w:r>
    </w:p>
    <w:p w:rsidR="00EE020E" w:rsidRPr="00C165B5" w:rsidRDefault="00EE020E" w:rsidP="00C165B5">
      <w:pPr>
        <w:pStyle w:val="ListParagraph"/>
        <w:spacing w:after="0" w:line="240" w:lineRule="auto"/>
        <w:jc w:val="both"/>
      </w:pPr>
    </w:p>
    <w:p w:rsidR="00EE020E" w:rsidRPr="00497280" w:rsidRDefault="00EE020E" w:rsidP="00D83BF1">
      <w:pPr>
        <w:spacing w:line="240" w:lineRule="auto"/>
        <w:jc w:val="both"/>
      </w:pPr>
      <w:r w:rsidRPr="00C165B5">
        <w:t xml:space="preserve">Texas Woman's University's uses multiple sources for salary survey data including PayScale and </w:t>
      </w:r>
      <w:r w:rsidR="00C165B5" w:rsidRPr="00C165B5">
        <w:t xml:space="preserve">the </w:t>
      </w:r>
      <w:r w:rsidRPr="00C165B5">
        <w:t xml:space="preserve">College &amp; University Professional Association for Human Resources (CUPA).  PayScale data can be found at </w:t>
      </w:r>
      <w:hyperlink r:id="rId8" w:history="1">
        <w:r w:rsidRPr="00C165B5">
          <w:rPr>
            <w:rStyle w:val="Hyperlink"/>
          </w:rPr>
          <w:t>http://www.payscale.com/</w:t>
        </w:r>
      </w:hyperlink>
      <w:r w:rsidRPr="00C165B5">
        <w:t xml:space="preserve"> and CUPA’s salary survey for Administrators in Higher Education is available at: </w:t>
      </w:r>
      <w:hyperlink r:id="rId9" w:history="1">
        <w:r w:rsidRPr="00C165B5">
          <w:rPr>
            <w:rStyle w:val="Hyperlink"/>
          </w:rPr>
          <w:t>http://www.cupahr.org/surveys/ahe.aspx</w:t>
        </w:r>
      </w:hyperlink>
      <w:r w:rsidR="00497280" w:rsidRPr="00C165B5">
        <w:t>.</w:t>
      </w:r>
    </w:p>
    <w:p w:rsidR="00CA10E7" w:rsidRPr="00C165B5" w:rsidRDefault="00CA10E7" w:rsidP="00D83BF1">
      <w:pPr>
        <w:spacing w:line="240" w:lineRule="auto"/>
        <w:jc w:val="both"/>
      </w:pPr>
      <w:r>
        <w:t xml:space="preserve">Texas Woman’s University’s executive staff average compensation is </w:t>
      </w:r>
      <w:r w:rsidR="00011E50">
        <w:t>19.4</w:t>
      </w:r>
      <w:r w:rsidRPr="00011E50">
        <w:t>%</w:t>
      </w:r>
      <w:r>
        <w:t xml:space="preserve"> </w:t>
      </w:r>
      <w:r w:rsidR="00011E50">
        <w:t>lower</w:t>
      </w:r>
      <w:r>
        <w:t xml:space="preserve"> than College and University Personnel Association </w:t>
      </w:r>
      <w:r w:rsidR="00A66E0C">
        <w:t xml:space="preserve">(CUPA) </w:t>
      </w:r>
      <w:r>
        <w:t>for similar executive positions.</w:t>
      </w:r>
    </w:p>
    <w:p w:rsidR="00EE020E" w:rsidRPr="00D83BF1" w:rsidRDefault="00DE316F" w:rsidP="00721492">
      <w:pPr>
        <w:spacing w:after="0" w:line="240" w:lineRule="auto"/>
        <w:jc w:val="both"/>
        <w:rPr>
          <w:b/>
        </w:rPr>
      </w:pPr>
      <w:r w:rsidRPr="00D83BF1">
        <w:rPr>
          <w:b/>
        </w:rPr>
        <w:t>Average Compensation for Employees Who Are Not Executive Staff</w:t>
      </w:r>
    </w:p>
    <w:tbl>
      <w:tblPr>
        <w:tblStyle w:val="TableGrid"/>
        <w:tblW w:w="0" w:type="auto"/>
        <w:tblInd w:w="108" w:type="dxa"/>
        <w:tblLook w:val="04A0" w:firstRow="1" w:lastRow="0" w:firstColumn="1" w:lastColumn="0" w:noHBand="0" w:noVBand="1"/>
      </w:tblPr>
      <w:tblGrid>
        <w:gridCol w:w="1188"/>
        <w:gridCol w:w="1219"/>
      </w:tblGrid>
      <w:tr w:rsidR="00BE2113" w:rsidRPr="00C165B5" w:rsidTr="00D83BF1">
        <w:tc>
          <w:tcPr>
            <w:tcW w:w="1188" w:type="dxa"/>
          </w:tcPr>
          <w:p w:rsidR="00BE2113" w:rsidRDefault="00FD7D2B" w:rsidP="00697BE6">
            <w:pPr>
              <w:pStyle w:val="ListParagraph"/>
              <w:ind w:left="0"/>
              <w:jc w:val="both"/>
            </w:pPr>
            <w:r>
              <w:t>FY 2020</w:t>
            </w:r>
          </w:p>
        </w:tc>
        <w:tc>
          <w:tcPr>
            <w:tcW w:w="1219" w:type="dxa"/>
          </w:tcPr>
          <w:p w:rsidR="00BE2113" w:rsidRPr="00C165B5" w:rsidRDefault="005963D5" w:rsidP="00162669">
            <w:r>
              <w:t>$48,549.20</w:t>
            </w:r>
          </w:p>
        </w:tc>
      </w:tr>
    </w:tbl>
    <w:p w:rsidR="00DE316F" w:rsidRPr="00C165B5" w:rsidRDefault="00DE316F" w:rsidP="00721492">
      <w:pPr>
        <w:pStyle w:val="ListParagraph"/>
        <w:spacing w:after="0" w:line="240" w:lineRule="auto"/>
        <w:jc w:val="both"/>
      </w:pPr>
      <w:r w:rsidRPr="00C165B5">
        <w:t xml:space="preserve">  </w:t>
      </w:r>
    </w:p>
    <w:p w:rsidR="00DE316F" w:rsidRPr="00D83BF1" w:rsidRDefault="00DE316F" w:rsidP="00721492">
      <w:pPr>
        <w:spacing w:after="0" w:line="240" w:lineRule="auto"/>
        <w:jc w:val="both"/>
        <w:rPr>
          <w:b/>
        </w:rPr>
      </w:pPr>
      <w:r w:rsidRPr="00D83BF1">
        <w:rPr>
          <w:b/>
        </w:rPr>
        <w:t>Percentage Increase in Compensation of Executive Staff</w:t>
      </w:r>
    </w:p>
    <w:tbl>
      <w:tblPr>
        <w:tblStyle w:val="TableGrid"/>
        <w:tblW w:w="0" w:type="auto"/>
        <w:tblInd w:w="108" w:type="dxa"/>
        <w:tblLook w:val="04A0" w:firstRow="1" w:lastRow="0" w:firstColumn="1" w:lastColumn="0" w:noHBand="0" w:noVBand="1"/>
      </w:tblPr>
      <w:tblGrid>
        <w:gridCol w:w="1170"/>
        <w:gridCol w:w="1170"/>
        <w:gridCol w:w="1170"/>
        <w:gridCol w:w="1170"/>
        <w:gridCol w:w="1170"/>
      </w:tblGrid>
      <w:tr w:rsidR="00E27D49" w:rsidRPr="00C165B5" w:rsidTr="00D83BF1">
        <w:tc>
          <w:tcPr>
            <w:tcW w:w="1170" w:type="dxa"/>
          </w:tcPr>
          <w:p w:rsidR="00E27D49" w:rsidRPr="00C165B5" w:rsidRDefault="00E27D49" w:rsidP="00C165B5">
            <w:pPr>
              <w:pStyle w:val="ListParagraph"/>
              <w:ind w:left="0"/>
              <w:jc w:val="center"/>
            </w:pPr>
            <w:r w:rsidRPr="00C165B5">
              <w:t>FY</w:t>
            </w:r>
            <w:r>
              <w:t xml:space="preserve"> </w:t>
            </w:r>
            <w:r w:rsidRPr="00C165B5">
              <w:t>2015</w:t>
            </w:r>
          </w:p>
        </w:tc>
        <w:tc>
          <w:tcPr>
            <w:tcW w:w="1170" w:type="dxa"/>
          </w:tcPr>
          <w:p w:rsidR="00E27D49" w:rsidRPr="00C165B5" w:rsidRDefault="00E27D49" w:rsidP="00C165B5">
            <w:pPr>
              <w:pStyle w:val="ListParagraph"/>
              <w:ind w:left="0"/>
              <w:jc w:val="center"/>
            </w:pPr>
            <w:r w:rsidRPr="00C165B5">
              <w:t>FY</w:t>
            </w:r>
            <w:r>
              <w:t xml:space="preserve"> </w:t>
            </w:r>
            <w:r w:rsidRPr="00C165B5">
              <w:t>2016</w:t>
            </w:r>
          </w:p>
        </w:tc>
        <w:tc>
          <w:tcPr>
            <w:tcW w:w="1170" w:type="dxa"/>
          </w:tcPr>
          <w:p w:rsidR="00E27D49" w:rsidRPr="00C165B5" w:rsidRDefault="00E27D49" w:rsidP="00C165B5">
            <w:pPr>
              <w:pStyle w:val="ListParagraph"/>
              <w:ind w:left="0"/>
              <w:jc w:val="center"/>
            </w:pPr>
            <w:r>
              <w:t>FY 2017</w:t>
            </w:r>
          </w:p>
        </w:tc>
        <w:tc>
          <w:tcPr>
            <w:tcW w:w="1170" w:type="dxa"/>
          </w:tcPr>
          <w:p w:rsidR="00E27D49" w:rsidRDefault="00E27D49" w:rsidP="00C165B5">
            <w:pPr>
              <w:pStyle w:val="ListParagraph"/>
              <w:ind w:left="0"/>
              <w:jc w:val="center"/>
            </w:pPr>
            <w:r>
              <w:t>FY 2018</w:t>
            </w:r>
          </w:p>
        </w:tc>
        <w:tc>
          <w:tcPr>
            <w:tcW w:w="1170" w:type="dxa"/>
          </w:tcPr>
          <w:p w:rsidR="00E27D49" w:rsidRDefault="00E27D49" w:rsidP="00C165B5">
            <w:pPr>
              <w:pStyle w:val="ListParagraph"/>
              <w:ind w:left="0"/>
              <w:jc w:val="center"/>
            </w:pPr>
            <w:r>
              <w:t>FY 2019</w:t>
            </w:r>
          </w:p>
        </w:tc>
      </w:tr>
      <w:tr w:rsidR="00E27D49" w:rsidRPr="00C165B5" w:rsidTr="00D83BF1">
        <w:tc>
          <w:tcPr>
            <w:tcW w:w="1170" w:type="dxa"/>
          </w:tcPr>
          <w:p w:rsidR="00E27D49" w:rsidRPr="00C165B5" w:rsidRDefault="00E27D49" w:rsidP="00C165B5">
            <w:pPr>
              <w:pStyle w:val="ListParagraph"/>
              <w:ind w:left="0"/>
              <w:jc w:val="center"/>
            </w:pPr>
            <w:r>
              <w:t>3.34%</w:t>
            </w:r>
          </w:p>
        </w:tc>
        <w:tc>
          <w:tcPr>
            <w:tcW w:w="1170" w:type="dxa"/>
          </w:tcPr>
          <w:p w:rsidR="00E27D49" w:rsidRPr="00C165B5" w:rsidRDefault="00E27D49" w:rsidP="00C165B5">
            <w:pPr>
              <w:pStyle w:val="ListParagraph"/>
              <w:ind w:left="0"/>
              <w:jc w:val="center"/>
            </w:pPr>
            <w:r>
              <w:t>2.5%</w:t>
            </w:r>
          </w:p>
        </w:tc>
        <w:tc>
          <w:tcPr>
            <w:tcW w:w="1170" w:type="dxa"/>
          </w:tcPr>
          <w:p w:rsidR="00E27D49" w:rsidRDefault="00E27D49" w:rsidP="00C165B5">
            <w:pPr>
              <w:pStyle w:val="ListParagraph"/>
              <w:ind w:left="0"/>
              <w:jc w:val="center"/>
            </w:pPr>
            <w:r>
              <w:t>6.78%</w:t>
            </w:r>
          </w:p>
        </w:tc>
        <w:tc>
          <w:tcPr>
            <w:tcW w:w="1170" w:type="dxa"/>
          </w:tcPr>
          <w:p w:rsidR="00E27D49" w:rsidRDefault="00E27D49" w:rsidP="00C165B5">
            <w:pPr>
              <w:pStyle w:val="ListParagraph"/>
              <w:ind w:left="0"/>
              <w:jc w:val="center"/>
            </w:pPr>
            <w:r>
              <w:t>11.33%</w:t>
            </w:r>
          </w:p>
        </w:tc>
        <w:tc>
          <w:tcPr>
            <w:tcW w:w="1170" w:type="dxa"/>
          </w:tcPr>
          <w:p w:rsidR="00E27D49" w:rsidRDefault="00E27D49" w:rsidP="00C165B5">
            <w:pPr>
              <w:pStyle w:val="ListParagraph"/>
              <w:ind w:left="0"/>
              <w:jc w:val="center"/>
            </w:pPr>
            <w:r>
              <w:t>1.25%</w:t>
            </w:r>
          </w:p>
        </w:tc>
      </w:tr>
    </w:tbl>
    <w:p w:rsidR="00EE020E" w:rsidRPr="00D83BF1" w:rsidRDefault="00AA6E7B" w:rsidP="00D83BF1">
      <w:pPr>
        <w:spacing w:line="240" w:lineRule="auto"/>
        <w:jc w:val="both"/>
        <w:rPr>
          <w:sz w:val="18"/>
          <w:szCs w:val="18"/>
        </w:rPr>
      </w:pPr>
      <w:r w:rsidRPr="00D83BF1">
        <w:rPr>
          <w:sz w:val="18"/>
          <w:szCs w:val="18"/>
        </w:rPr>
        <w:t xml:space="preserve">Source: Administrative Accountability Report </w:t>
      </w:r>
    </w:p>
    <w:p w:rsidR="00C165B5" w:rsidRPr="00D83BF1" w:rsidRDefault="00C165B5" w:rsidP="00721492">
      <w:pPr>
        <w:spacing w:after="0" w:line="240" w:lineRule="auto"/>
        <w:jc w:val="both"/>
        <w:rPr>
          <w:b/>
        </w:rPr>
      </w:pPr>
      <w:r w:rsidRPr="00D83BF1">
        <w:rPr>
          <w:b/>
        </w:rPr>
        <w:t>Percentage Increase in Legislative Appropriations</w:t>
      </w:r>
    </w:p>
    <w:tbl>
      <w:tblPr>
        <w:tblStyle w:val="TableGrid"/>
        <w:tblW w:w="0" w:type="auto"/>
        <w:tblInd w:w="108" w:type="dxa"/>
        <w:tblLook w:val="04A0" w:firstRow="1" w:lastRow="0" w:firstColumn="1" w:lastColumn="0" w:noHBand="0" w:noVBand="1"/>
      </w:tblPr>
      <w:tblGrid>
        <w:gridCol w:w="1170"/>
        <w:gridCol w:w="1170"/>
        <w:gridCol w:w="1170"/>
        <w:gridCol w:w="1170"/>
        <w:gridCol w:w="1170"/>
      </w:tblGrid>
      <w:tr w:rsidR="00E27D49" w:rsidRPr="00C165B5" w:rsidTr="00D83BF1">
        <w:tc>
          <w:tcPr>
            <w:tcW w:w="1170" w:type="dxa"/>
          </w:tcPr>
          <w:p w:rsidR="00E27D49" w:rsidRPr="00C165B5" w:rsidRDefault="00E27D49" w:rsidP="00BE2113">
            <w:pPr>
              <w:pStyle w:val="ListParagraph"/>
              <w:ind w:left="0"/>
              <w:jc w:val="center"/>
            </w:pPr>
            <w:r w:rsidRPr="00C165B5">
              <w:t>FY</w:t>
            </w:r>
            <w:r>
              <w:t xml:space="preserve"> </w:t>
            </w:r>
            <w:r w:rsidRPr="00C165B5">
              <w:t>2015</w:t>
            </w:r>
          </w:p>
        </w:tc>
        <w:tc>
          <w:tcPr>
            <w:tcW w:w="1170" w:type="dxa"/>
          </w:tcPr>
          <w:p w:rsidR="00E27D49" w:rsidRPr="00C165B5" w:rsidRDefault="00E27D49" w:rsidP="00BE2113">
            <w:pPr>
              <w:pStyle w:val="ListParagraph"/>
              <w:ind w:left="0"/>
              <w:jc w:val="center"/>
            </w:pPr>
            <w:r w:rsidRPr="00C165B5">
              <w:t>FY</w:t>
            </w:r>
            <w:r>
              <w:t xml:space="preserve"> </w:t>
            </w:r>
            <w:r w:rsidRPr="00C165B5">
              <w:t>2016</w:t>
            </w:r>
          </w:p>
        </w:tc>
        <w:tc>
          <w:tcPr>
            <w:tcW w:w="1170" w:type="dxa"/>
          </w:tcPr>
          <w:p w:rsidR="00E27D49" w:rsidRPr="00C165B5" w:rsidRDefault="00E27D49" w:rsidP="00BE2113">
            <w:pPr>
              <w:pStyle w:val="ListParagraph"/>
              <w:ind w:left="0"/>
              <w:jc w:val="center"/>
            </w:pPr>
            <w:r>
              <w:t>FY 2017</w:t>
            </w:r>
          </w:p>
        </w:tc>
        <w:tc>
          <w:tcPr>
            <w:tcW w:w="1170" w:type="dxa"/>
          </w:tcPr>
          <w:p w:rsidR="00E27D49" w:rsidRDefault="00E27D49" w:rsidP="00BE2113">
            <w:pPr>
              <w:pStyle w:val="ListParagraph"/>
              <w:ind w:left="0"/>
              <w:jc w:val="center"/>
            </w:pPr>
            <w:r>
              <w:t>FY 2018</w:t>
            </w:r>
          </w:p>
        </w:tc>
        <w:tc>
          <w:tcPr>
            <w:tcW w:w="1170" w:type="dxa"/>
          </w:tcPr>
          <w:p w:rsidR="00E27D49" w:rsidRDefault="00E27D49" w:rsidP="00BE2113">
            <w:pPr>
              <w:pStyle w:val="ListParagraph"/>
              <w:ind w:left="0"/>
              <w:jc w:val="center"/>
            </w:pPr>
            <w:r>
              <w:t>FY 2019</w:t>
            </w:r>
          </w:p>
        </w:tc>
      </w:tr>
      <w:tr w:rsidR="00E27D49" w:rsidRPr="00C165B5" w:rsidTr="00D83BF1">
        <w:tc>
          <w:tcPr>
            <w:tcW w:w="1170" w:type="dxa"/>
          </w:tcPr>
          <w:p w:rsidR="00E27D49" w:rsidRPr="00C165B5" w:rsidRDefault="00E27D49" w:rsidP="00697BE6">
            <w:pPr>
              <w:pStyle w:val="ListParagraph"/>
              <w:ind w:left="0"/>
              <w:jc w:val="center"/>
            </w:pPr>
            <w:r>
              <w:t>.30%</w:t>
            </w:r>
          </w:p>
        </w:tc>
        <w:tc>
          <w:tcPr>
            <w:tcW w:w="1170" w:type="dxa"/>
          </w:tcPr>
          <w:p w:rsidR="00E27D49" w:rsidRPr="00C165B5" w:rsidRDefault="00E27D49" w:rsidP="00697BE6">
            <w:pPr>
              <w:pStyle w:val="ListParagraph"/>
              <w:ind w:left="0"/>
              <w:jc w:val="center"/>
            </w:pPr>
            <w:r>
              <w:t>2.24%</w:t>
            </w:r>
          </w:p>
        </w:tc>
        <w:tc>
          <w:tcPr>
            <w:tcW w:w="1170" w:type="dxa"/>
          </w:tcPr>
          <w:p w:rsidR="00E27D49" w:rsidRDefault="00E27D49" w:rsidP="00697BE6">
            <w:pPr>
              <w:pStyle w:val="ListParagraph"/>
              <w:ind w:left="0"/>
              <w:jc w:val="center"/>
            </w:pPr>
            <w:r>
              <w:t>.32%</w:t>
            </w:r>
          </w:p>
        </w:tc>
        <w:tc>
          <w:tcPr>
            <w:tcW w:w="1170" w:type="dxa"/>
          </w:tcPr>
          <w:p w:rsidR="00E27D49" w:rsidRDefault="00E27D49" w:rsidP="00697BE6">
            <w:pPr>
              <w:pStyle w:val="ListParagraph"/>
              <w:ind w:left="0"/>
              <w:jc w:val="center"/>
            </w:pPr>
            <w:r>
              <w:t>6.13%</w:t>
            </w:r>
          </w:p>
        </w:tc>
        <w:tc>
          <w:tcPr>
            <w:tcW w:w="1170" w:type="dxa"/>
          </w:tcPr>
          <w:p w:rsidR="00E27D49" w:rsidRDefault="00E27D49" w:rsidP="00697BE6">
            <w:pPr>
              <w:pStyle w:val="ListParagraph"/>
              <w:ind w:left="0"/>
              <w:jc w:val="center"/>
            </w:pPr>
            <w:r>
              <w:t>.21%</w:t>
            </w:r>
          </w:p>
        </w:tc>
      </w:tr>
    </w:tbl>
    <w:p w:rsidR="00C165B5" w:rsidRPr="00D83BF1" w:rsidRDefault="00B82724" w:rsidP="00D83BF1">
      <w:pPr>
        <w:spacing w:line="240" w:lineRule="auto"/>
        <w:jc w:val="both"/>
        <w:rPr>
          <w:sz w:val="18"/>
          <w:szCs w:val="18"/>
        </w:rPr>
      </w:pPr>
      <w:r w:rsidRPr="00D83BF1">
        <w:rPr>
          <w:sz w:val="18"/>
          <w:szCs w:val="18"/>
        </w:rPr>
        <w:t>Based on General Revenue appropriated per fiscal year</w:t>
      </w:r>
    </w:p>
    <w:sectPr w:rsidR="00C165B5" w:rsidRPr="00D83BF1" w:rsidSect="0072149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60" w:rsidRDefault="006F0F60" w:rsidP="006F0F60">
      <w:pPr>
        <w:spacing w:after="0" w:line="240" w:lineRule="auto"/>
      </w:pPr>
      <w:r>
        <w:separator/>
      </w:r>
    </w:p>
  </w:endnote>
  <w:endnote w:type="continuationSeparator" w:id="0">
    <w:p w:rsidR="006F0F60" w:rsidRDefault="006F0F60" w:rsidP="006F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60" w:rsidRDefault="006F0F60" w:rsidP="006F0F60">
      <w:pPr>
        <w:spacing w:after="0" w:line="240" w:lineRule="auto"/>
      </w:pPr>
      <w:r>
        <w:separator/>
      </w:r>
    </w:p>
  </w:footnote>
  <w:footnote w:type="continuationSeparator" w:id="0">
    <w:p w:rsidR="006F0F60" w:rsidRDefault="006F0F60" w:rsidP="006F0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E30F5"/>
    <w:multiLevelType w:val="hybridMultilevel"/>
    <w:tmpl w:val="ABC66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81"/>
    <w:rsid w:val="00006AC2"/>
    <w:rsid w:val="00011E50"/>
    <w:rsid w:val="000324AD"/>
    <w:rsid w:val="00087055"/>
    <w:rsid w:val="000F7C3C"/>
    <w:rsid w:val="001625DA"/>
    <w:rsid w:val="00162669"/>
    <w:rsid w:val="00200574"/>
    <w:rsid w:val="0020762D"/>
    <w:rsid w:val="002C6D11"/>
    <w:rsid w:val="002D5947"/>
    <w:rsid w:val="004212F1"/>
    <w:rsid w:val="004434C7"/>
    <w:rsid w:val="00497280"/>
    <w:rsid w:val="004F7F6E"/>
    <w:rsid w:val="005963D5"/>
    <w:rsid w:val="005F0951"/>
    <w:rsid w:val="0061347C"/>
    <w:rsid w:val="006B389E"/>
    <w:rsid w:val="006C0113"/>
    <w:rsid w:val="006F0F60"/>
    <w:rsid w:val="00721492"/>
    <w:rsid w:val="007F1D3B"/>
    <w:rsid w:val="00880888"/>
    <w:rsid w:val="00887CC4"/>
    <w:rsid w:val="0095489B"/>
    <w:rsid w:val="00981779"/>
    <w:rsid w:val="009B7025"/>
    <w:rsid w:val="009F5BC8"/>
    <w:rsid w:val="00A133AC"/>
    <w:rsid w:val="00A66E0C"/>
    <w:rsid w:val="00A737A6"/>
    <w:rsid w:val="00AA6E7B"/>
    <w:rsid w:val="00B71881"/>
    <w:rsid w:val="00B82724"/>
    <w:rsid w:val="00BB07DA"/>
    <w:rsid w:val="00BE2113"/>
    <w:rsid w:val="00C165B5"/>
    <w:rsid w:val="00C84B6C"/>
    <w:rsid w:val="00CA10E7"/>
    <w:rsid w:val="00D83BF1"/>
    <w:rsid w:val="00DE316F"/>
    <w:rsid w:val="00E163AD"/>
    <w:rsid w:val="00E27D49"/>
    <w:rsid w:val="00EC27F5"/>
    <w:rsid w:val="00EE020E"/>
    <w:rsid w:val="00F74C71"/>
    <w:rsid w:val="00F85345"/>
    <w:rsid w:val="00FC2B1D"/>
    <w:rsid w:val="00FD7D2B"/>
    <w:rsid w:val="00FE22DA"/>
    <w:rsid w:val="00FF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F65A"/>
  <w15:docId w15:val="{DB93ECC0-CF1D-4359-8BF3-D9FB1C08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81"/>
    <w:pPr>
      <w:ind w:left="720"/>
      <w:contextualSpacing/>
    </w:pPr>
  </w:style>
  <w:style w:type="table" w:styleId="TableGrid">
    <w:name w:val="Table Grid"/>
    <w:basedOn w:val="TableNormal"/>
    <w:uiPriority w:val="59"/>
    <w:rsid w:val="00B7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0888"/>
  </w:style>
  <w:style w:type="character" w:styleId="Hyperlink">
    <w:name w:val="Hyperlink"/>
    <w:basedOn w:val="DefaultParagraphFont"/>
    <w:uiPriority w:val="99"/>
    <w:unhideWhenUsed/>
    <w:rsid w:val="00EE020E"/>
    <w:rPr>
      <w:color w:val="0000FF" w:themeColor="hyperlink"/>
      <w:u w:val="single"/>
    </w:rPr>
  </w:style>
  <w:style w:type="paragraph" w:styleId="Header">
    <w:name w:val="header"/>
    <w:basedOn w:val="Normal"/>
    <w:link w:val="HeaderChar"/>
    <w:uiPriority w:val="99"/>
    <w:unhideWhenUsed/>
    <w:rsid w:val="006F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60"/>
  </w:style>
  <w:style w:type="paragraph" w:styleId="Footer">
    <w:name w:val="footer"/>
    <w:basedOn w:val="Normal"/>
    <w:link w:val="FooterChar"/>
    <w:uiPriority w:val="99"/>
    <w:unhideWhenUsed/>
    <w:rsid w:val="006F0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60"/>
  </w:style>
  <w:style w:type="paragraph" w:styleId="BalloonText">
    <w:name w:val="Balloon Text"/>
    <w:basedOn w:val="Normal"/>
    <w:link w:val="BalloonTextChar"/>
    <w:uiPriority w:val="99"/>
    <w:semiHidden/>
    <w:unhideWhenUsed/>
    <w:rsid w:val="006F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7862">
      <w:bodyDiv w:val="1"/>
      <w:marLeft w:val="0"/>
      <w:marRight w:val="0"/>
      <w:marTop w:val="0"/>
      <w:marBottom w:val="0"/>
      <w:divBdr>
        <w:top w:val="none" w:sz="0" w:space="0" w:color="auto"/>
        <w:left w:val="none" w:sz="0" w:space="0" w:color="auto"/>
        <w:bottom w:val="none" w:sz="0" w:space="0" w:color="auto"/>
        <w:right w:val="none" w:sz="0" w:space="0" w:color="auto"/>
      </w:divBdr>
    </w:div>
    <w:div w:id="184903695">
      <w:bodyDiv w:val="1"/>
      <w:marLeft w:val="0"/>
      <w:marRight w:val="0"/>
      <w:marTop w:val="0"/>
      <w:marBottom w:val="0"/>
      <w:divBdr>
        <w:top w:val="none" w:sz="0" w:space="0" w:color="auto"/>
        <w:left w:val="none" w:sz="0" w:space="0" w:color="auto"/>
        <w:bottom w:val="none" w:sz="0" w:space="0" w:color="auto"/>
        <w:right w:val="none" w:sz="0" w:space="0" w:color="auto"/>
      </w:divBdr>
    </w:div>
    <w:div w:id="1433822445">
      <w:bodyDiv w:val="1"/>
      <w:marLeft w:val="0"/>
      <w:marRight w:val="0"/>
      <w:marTop w:val="0"/>
      <w:marBottom w:val="0"/>
      <w:divBdr>
        <w:top w:val="none" w:sz="0" w:space="0" w:color="auto"/>
        <w:left w:val="none" w:sz="0" w:space="0" w:color="auto"/>
        <w:bottom w:val="none" w:sz="0" w:space="0" w:color="auto"/>
        <w:right w:val="none" w:sz="0" w:space="0" w:color="auto"/>
      </w:divBdr>
    </w:div>
    <w:div w:id="1921325917">
      <w:bodyDiv w:val="1"/>
      <w:marLeft w:val="0"/>
      <w:marRight w:val="0"/>
      <w:marTop w:val="0"/>
      <w:marBottom w:val="0"/>
      <w:divBdr>
        <w:top w:val="none" w:sz="0" w:space="0" w:color="auto"/>
        <w:left w:val="none" w:sz="0" w:space="0" w:color="auto"/>
        <w:bottom w:val="none" w:sz="0" w:space="0" w:color="auto"/>
        <w:right w:val="none" w:sz="0" w:space="0" w:color="auto"/>
      </w:divBdr>
    </w:div>
    <w:div w:id="21370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sca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pahr.org/surveys/ah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BF03-0FD4-4C10-8BB5-4C8CC1BD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Amy Hall</cp:lastModifiedBy>
  <cp:revision>28</cp:revision>
  <cp:lastPrinted>2020-01-31T13:36:00Z</cp:lastPrinted>
  <dcterms:created xsi:type="dcterms:W3CDTF">2017-01-03T18:25:00Z</dcterms:created>
  <dcterms:modified xsi:type="dcterms:W3CDTF">2020-01-31T16:09:00Z</dcterms:modified>
</cp:coreProperties>
</file>